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B18" w:rsidRDefault="007C7B18" w:rsidP="007C7B18">
      <w:pPr>
        <w:spacing w:line="48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6"/>
          <w:szCs w:val="32"/>
        </w:rPr>
        <w:t>项目</w:t>
      </w:r>
      <w:r>
        <w:rPr>
          <w:rFonts w:ascii="黑体" w:eastAsia="黑体" w:hAnsi="黑体"/>
          <w:sz w:val="36"/>
          <w:szCs w:val="32"/>
        </w:rPr>
        <w:t>支出绩效自评表</w:t>
      </w:r>
    </w:p>
    <w:p w:rsidR="007C7B18" w:rsidRDefault="007C7B18" w:rsidP="007C7B18">
      <w:pPr>
        <w:spacing w:line="480" w:lineRule="exact"/>
        <w:jc w:val="center"/>
        <w:rPr>
          <w:rFonts w:ascii="宋体" w:hAnsi="宋体"/>
          <w:szCs w:val="18"/>
        </w:rPr>
      </w:pPr>
      <w:r>
        <w:rPr>
          <w:rFonts w:ascii="宋体" w:hAnsi="宋体" w:hint="eastAsia"/>
          <w:szCs w:val="18"/>
        </w:rPr>
        <w:t xml:space="preserve">（ </w:t>
      </w:r>
      <w:r>
        <w:rPr>
          <w:rFonts w:ascii="宋体" w:hAnsi="宋体"/>
          <w:szCs w:val="18"/>
        </w:rPr>
        <w:t xml:space="preserve">  </w:t>
      </w:r>
      <w:r>
        <w:rPr>
          <w:rFonts w:ascii="宋体" w:hAnsi="宋体" w:hint="eastAsia"/>
          <w:szCs w:val="18"/>
        </w:rPr>
        <w:t>202</w:t>
      </w:r>
      <w:r>
        <w:rPr>
          <w:rFonts w:ascii="宋体" w:hAnsi="宋体"/>
          <w:szCs w:val="18"/>
        </w:rPr>
        <w:t>1</w:t>
      </w:r>
      <w:r>
        <w:rPr>
          <w:rFonts w:ascii="宋体" w:hAnsi="宋体" w:hint="eastAsia"/>
          <w:szCs w:val="18"/>
        </w:rPr>
        <w:t xml:space="preserve"> 年度）</w:t>
      </w:r>
    </w:p>
    <w:tbl>
      <w:tblPr>
        <w:tblW w:w="11009" w:type="dxa"/>
        <w:jc w:val="center"/>
        <w:tblLayout w:type="fixed"/>
        <w:tblLook w:val="0000" w:firstRow="0" w:lastRow="0" w:firstColumn="0" w:lastColumn="0" w:noHBand="0" w:noVBand="0"/>
      </w:tblPr>
      <w:tblGrid>
        <w:gridCol w:w="915"/>
        <w:gridCol w:w="551"/>
        <w:gridCol w:w="1186"/>
        <w:gridCol w:w="892"/>
        <w:gridCol w:w="1477"/>
        <w:gridCol w:w="1106"/>
        <w:gridCol w:w="1053"/>
        <w:gridCol w:w="83"/>
        <w:gridCol w:w="624"/>
        <w:gridCol w:w="284"/>
        <w:gridCol w:w="560"/>
        <w:gridCol w:w="7"/>
        <w:gridCol w:w="1590"/>
        <w:gridCol w:w="681"/>
      </w:tblGrid>
      <w:tr w:rsidR="007C7B18" w:rsidTr="007C7B18">
        <w:trPr>
          <w:trHeight w:hRule="exact" w:val="330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项目名称</w:t>
            </w:r>
          </w:p>
        </w:tc>
        <w:tc>
          <w:tcPr>
            <w:tcW w:w="88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办公区防火预警建设项目</w:t>
            </w:r>
          </w:p>
        </w:tc>
        <w:tc>
          <w:tcPr>
            <w:tcW w:w="677" w:type="dxa"/>
          </w:tcPr>
          <w:p w:rsidR="007C7B18" w:rsidRDefault="007C7B18" w:rsidP="007A2885">
            <w:pPr>
              <w:widowControl/>
              <w:jc w:val="left"/>
            </w:pPr>
          </w:p>
        </w:tc>
      </w:tr>
      <w:tr w:rsidR="007C7B18" w:rsidTr="007C7B18">
        <w:trPr>
          <w:gridAfter w:val="1"/>
          <w:wAfter w:w="678" w:type="dxa"/>
          <w:trHeight w:hRule="exact" w:val="330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主管部门</w:t>
            </w:r>
          </w:p>
        </w:tc>
        <w:tc>
          <w:tcPr>
            <w:tcW w:w="4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北京电子控股有限责任公司</w:t>
            </w:r>
            <w:bookmarkStart w:id="0" w:name="_GoBack"/>
            <w:bookmarkEnd w:id="0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实施单位</w:t>
            </w:r>
          </w:p>
        </w:tc>
        <w:tc>
          <w:tcPr>
            <w:tcW w:w="31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北京市电子科技情报研究所</w:t>
            </w:r>
          </w:p>
        </w:tc>
      </w:tr>
      <w:tr w:rsidR="007C7B18" w:rsidTr="007C7B18">
        <w:trPr>
          <w:gridAfter w:val="1"/>
          <w:wAfter w:w="678" w:type="dxa"/>
          <w:trHeight w:hRule="exact" w:val="330"/>
          <w:jc w:val="center"/>
        </w:trPr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Cs w:val="18"/>
              </w:rPr>
              <w:t>负责人</w:t>
            </w:r>
          </w:p>
        </w:tc>
        <w:tc>
          <w:tcPr>
            <w:tcW w:w="4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刘磊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联系电话</w:t>
            </w:r>
          </w:p>
        </w:tc>
        <w:tc>
          <w:tcPr>
            <w:tcW w:w="31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010-64034888</w:t>
            </w:r>
          </w:p>
        </w:tc>
      </w:tr>
      <w:tr w:rsidR="007C7B18" w:rsidTr="007C7B18">
        <w:trPr>
          <w:gridAfter w:val="1"/>
          <w:wAfter w:w="679" w:type="dxa"/>
          <w:trHeight w:hRule="exact" w:val="330"/>
          <w:jc w:val="center"/>
        </w:trPr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（万元）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年初预算数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全年预算数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全年执行数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执行率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</w:tr>
      <w:tr w:rsidR="007C7B18" w:rsidTr="007C7B18">
        <w:trPr>
          <w:gridAfter w:val="1"/>
          <w:wAfter w:w="679" w:type="dxa"/>
          <w:trHeight w:hRule="exact" w:val="330"/>
          <w:jc w:val="center"/>
        </w:trPr>
        <w:tc>
          <w:tcPr>
            <w:tcW w:w="1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年度资金总额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12.2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12.2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  <w:lang w:eastAsia="zh-Hans"/>
              </w:rPr>
              <w:t>12</w:t>
            </w:r>
            <w:r>
              <w:rPr>
                <w:lang w:eastAsia="zh-Hans"/>
              </w:rPr>
              <w:t>.</w:t>
            </w:r>
            <w:r>
              <w:rPr>
                <w:rFonts w:hint="eastAsia"/>
                <w:lang w:eastAsia="zh-Hans"/>
              </w:rPr>
              <w:t>0435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99%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19</w:t>
            </w:r>
          </w:p>
        </w:tc>
      </w:tr>
      <w:tr w:rsidR="007C7B18" w:rsidTr="007C7B18">
        <w:trPr>
          <w:gridAfter w:val="1"/>
          <w:wAfter w:w="679" w:type="dxa"/>
          <w:trHeight w:hRule="exact" w:val="330"/>
          <w:jc w:val="center"/>
        </w:trPr>
        <w:tc>
          <w:tcPr>
            <w:tcW w:w="1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其中：当年财政拨款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7C7B18" w:rsidTr="007C7B18">
        <w:trPr>
          <w:gridAfter w:val="1"/>
          <w:wAfter w:w="679" w:type="dxa"/>
          <w:trHeight w:hRule="exact" w:val="330"/>
          <w:jc w:val="center"/>
        </w:trPr>
        <w:tc>
          <w:tcPr>
            <w:tcW w:w="1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    上年结转资金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—</w:t>
            </w:r>
          </w:p>
        </w:tc>
      </w:tr>
      <w:tr w:rsidR="007C7B18" w:rsidTr="007C7B18">
        <w:trPr>
          <w:gridAfter w:val="1"/>
          <w:wAfter w:w="679" w:type="dxa"/>
          <w:trHeight w:hRule="exact" w:val="330"/>
          <w:jc w:val="center"/>
        </w:trPr>
        <w:tc>
          <w:tcPr>
            <w:tcW w:w="1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 xml:space="preserve">  其他资金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12.2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12.2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  <w:lang w:eastAsia="zh-Hans"/>
              </w:rPr>
              <w:t>12</w:t>
            </w:r>
            <w:r>
              <w:rPr>
                <w:lang w:eastAsia="zh-Hans"/>
              </w:rPr>
              <w:t>.</w:t>
            </w:r>
            <w:r>
              <w:rPr>
                <w:rFonts w:hint="eastAsia"/>
                <w:lang w:eastAsia="zh-Hans"/>
              </w:rPr>
              <w:t>0435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20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Cs w:val="18"/>
              </w:rPr>
              <w:t>9%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19</w:t>
            </w:r>
          </w:p>
        </w:tc>
      </w:tr>
      <w:tr w:rsidR="007C7B18" w:rsidTr="007C7B18">
        <w:trPr>
          <w:gridAfter w:val="1"/>
          <w:wAfter w:w="678" w:type="dxa"/>
          <w:trHeight w:hRule="exact" w:val="330"/>
          <w:jc w:val="center"/>
        </w:trPr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年度总体目标</w:t>
            </w:r>
          </w:p>
        </w:tc>
        <w:tc>
          <w:tcPr>
            <w:tcW w:w="5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预期目标</w:t>
            </w:r>
          </w:p>
        </w:tc>
        <w:tc>
          <w:tcPr>
            <w:tcW w:w="4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实际完成情况</w:t>
            </w:r>
          </w:p>
        </w:tc>
      </w:tr>
      <w:tr w:rsidR="007C7B18" w:rsidTr="007C7B18">
        <w:trPr>
          <w:gridAfter w:val="1"/>
          <w:wAfter w:w="678" w:type="dxa"/>
          <w:trHeight w:hRule="exact" w:val="1012"/>
          <w:jc w:val="center"/>
        </w:trPr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为有效防止火灾等消防隐患发生，特申请进行消防安全环境建设，通过购置可联网联动的消防感应报警采集设备，增添必要的消防安全报警输出设备，及消防控制与管理系统，搭建一个较完备的消防安全应急报警环境。</w:t>
            </w:r>
          </w:p>
        </w:tc>
        <w:tc>
          <w:tcPr>
            <w:tcW w:w="4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为有效防止火灾等消防隐患发生，特申请进行消防安全环境建设，通过购置可联网联动的消防感应报警采集设备，增添必要的消防安全报警输出设备，及消防控制与管理系统，搭建一个较完备的消防安全应急报警环境。</w:t>
            </w:r>
          </w:p>
        </w:tc>
      </w:tr>
      <w:tr w:rsidR="007C7B18" w:rsidTr="007C7B18">
        <w:trPr>
          <w:gridAfter w:val="1"/>
          <w:wAfter w:w="681" w:type="dxa"/>
          <w:trHeight w:hRule="exact" w:val="1117"/>
          <w:jc w:val="center"/>
        </w:trPr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Cs w:val="18"/>
              </w:rPr>
              <w:br/>
              <w:t>标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一级指标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二级指标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三级指标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年度</w:t>
            </w:r>
          </w:p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指标值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实际</w:t>
            </w:r>
          </w:p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完成值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得分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偏差原因分析及改进措施</w:t>
            </w:r>
          </w:p>
        </w:tc>
      </w:tr>
      <w:tr w:rsidR="007C7B18" w:rsidTr="007C7B18">
        <w:trPr>
          <w:gridAfter w:val="1"/>
          <w:wAfter w:w="681" w:type="dxa"/>
          <w:trHeight w:hRule="exact" w:val="330"/>
          <w:jc w:val="center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产出指标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数量指标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硬件采购数量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>70</w:t>
            </w:r>
            <w:r>
              <w:rPr>
                <w:rFonts w:hint="eastAsia"/>
              </w:rPr>
              <w:t>台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68</w:t>
            </w:r>
            <w:r>
              <w:rPr>
                <w:rFonts w:ascii="宋体" w:hAnsi="宋体" w:cs="宋体" w:hint="eastAsia"/>
                <w:kern w:val="0"/>
                <w:szCs w:val="18"/>
              </w:rPr>
              <w:t>台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7C7B18" w:rsidTr="007C7B18">
        <w:trPr>
          <w:gridAfter w:val="1"/>
          <w:wAfter w:w="681" w:type="dxa"/>
          <w:trHeight w:hRule="exact" w:val="330"/>
          <w:jc w:val="center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质量指标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B18" w:rsidRDefault="007C7B18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验收合格率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B18" w:rsidRDefault="007C7B18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00%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7C7B18" w:rsidTr="007C7B18">
        <w:trPr>
          <w:gridAfter w:val="1"/>
          <w:wAfter w:w="681" w:type="dxa"/>
          <w:trHeight w:hRule="exact" w:val="330"/>
          <w:jc w:val="center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B18" w:rsidRDefault="007C7B18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安全环境平均无故障时间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B18" w:rsidRDefault="007C7B18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8500</w:t>
            </w:r>
            <w:r>
              <w:rPr>
                <w:rFonts w:hint="eastAsia"/>
              </w:rPr>
              <w:t>小时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8500小时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7C7B18" w:rsidTr="007C7B18">
        <w:trPr>
          <w:gridAfter w:val="1"/>
          <w:wAfter w:w="681" w:type="dxa"/>
          <w:trHeight w:hRule="exact" w:val="330"/>
          <w:jc w:val="center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B18" w:rsidRDefault="007C7B18" w:rsidP="007A2885"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设备正常运行率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B18" w:rsidRDefault="007C7B18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≥98%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7C7B18" w:rsidTr="007C7B18">
        <w:trPr>
          <w:gridAfter w:val="1"/>
          <w:wAfter w:w="681" w:type="dxa"/>
          <w:trHeight w:hRule="exact" w:val="421"/>
          <w:jc w:val="center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工作进度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日前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</w:pPr>
            <w: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</w:pPr>
            <w: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left"/>
            </w:pPr>
            <w:r>
              <w:rPr>
                <w:rFonts w:hint="eastAsia"/>
              </w:rPr>
              <w:t>加强整体执行率</w:t>
            </w:r>
          </w:p>
        </w:tc>
      </w:tr>
      <w:tr w:rsidR="007C7B18" w:rsidTr="007C7B18">
        <w:trPr>
          <w:gridAfter w:val="1"/>
          <w:wAfter w:w="681" w:type="dxa"/>
          <w:trHeight w:hRule="exact" w:val="330"/>
          <w:jc w:val="center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B18" w:rsidRDefault="007C7B18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支出进度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7B18" w:rsidRDefault="007C7B18" w:rsidP="007A2885">
            <w:pPr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6月30日前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Cs w:val="18"/>
              </w:rPr>
              <w:t>月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加强支出执行率</w:t>
            </w:r>
          </w:p>
        </w:tc>
      </w:tr>
      <w:tr w:rsidR="007C7B18" w:rsidTr="007C7B18">
        <w:trPr>
          <w:gridAfter w:val="1"/>
          <w:wAfter w:w="681" w:type="dxa"/>
          <w:trHeight w:hRule="exact" w:val="336"/>
          <w:jc w:val="center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成本指标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项目支出成本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≤12.2万元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2.04</w:t>
            </w:r>
            <w:r>
              <w:rPr>
                <w:rFonts w:ascii="宋体" w:hAnsi="宋体" w:cs="宋体" w:hint="eastAsia"/>
                <w:kern w:val="0"/>
                <w:szCs w:val="18"/>
              </w:rPr>
              <w:t>万元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7C7B18" w:rsidTr="007C7B18">
        <w:trPr>
          <w:gridAfter w:val="1"/>
          <w:wAfter w:w="681" w:type="dxa"/>
          <w:trHeight w:hRule="exact" w:val="654"/>
          <w:jc w:val="center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效益指标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可持续影响指标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系统正常使用年限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7C7B18" w:rsidTr="007C7B18">
        <w:trPr>
          <w:gridAfter w:val="1"/>
          <w:wAfter w:w="681" w:type="dxa"/>
          <w:trHeight w:hRule="exact" w:val="654"/>
          <w:jc w:val="center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社会效益指标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消防安全防护能力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rPr>
                <w:rFonts w:hint="eastAsia"/>
              </w:rPr>
            </w:pPr>
            <w:r>
              <w:rPr>
                <w:rFonts w:hint="eastAsia"/>
              </w:rPr>
              <w:t>得到提升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得到提升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Cs w:val="18"/>
              </w:rPr>
              <w:t>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7C7B18" w:rsidTr="007C7B18">
        <w:trPr>
          <w:gridAfter w:val="1"/>
          <w:wAfter w:w="681" w:type="dxa"/>
          <w:trHeight w:hRule="exact" w:val="1787"/>
          <w:jc w:val="center"/>
        </w:trPr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满意度</w:t>
            </w:r>
          </w:p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指标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18"/>
              </w:rPr>
              <w:t>服务对象满意度指标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hint="eastAsia"/>
              </w:rPr>
              <w:t>用户满意度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98%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  <w:r>
              <w:rPr>
                <w:rFonts w:ascii="宋体" w:hAnsi="宋体" w:cs="宋体"/>
                <w:kern w:val="0"/>
                <w:szCs w:val="18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  <w:tr w:rsidR="007C7B18" w:rsidTr="007C7B18">
        <w:trPr>
          <w:gridAfter w:val="1"/>
          <w:wAfter w:w="679" w:type="dxa"/>
          <w:trHeight w:hRule="exact" w:val="330"/>
          <w:jc w:val="center"/>
        </w:trPr>
        <w:tc>
          <w:tcPr>
            <w:tcW w:w="7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总分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Cs w:val="18"/>
              </w:rPr>
              <w:t>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B18" w:rsidRDefault="007C7B18" w:rsidP="007A28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18"/>
              </w:rPr>
            </w:pPr>
          </w:p>
        </w:tc>
      </w:tr>
    </w:tbl>
    <w:p w:rsidR="000A0719" w:rsidRDefault="000A0719"/>
    <w:sectPr w:rsidR="000A07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5DD" w:rsidRDefault="007A75DD" w:rsidP="00AF279B">
      <w:r>
        <w:separator/>
      </w:r>
    </w:p>
  </w:endnote>
  <w:endnote w:type="continuationSeparator" w:id="0">
    <w:p w:rsidR="007A75DD" w:rsidRDefault="007A75DD" w:rsidP="00AF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5DD" w:rsidRDefault="007A75DD" w:rsidP="00AF279B">
      <w:r>
        <w:separator/>
      </w:r>
    </w:p>
  </w:footnote>
  <w:footnote w:type="continuationSeparator" w:id="0">
    <w:p w:rsidR="007A75DD" w:rsidRDefault="007A75DD" w:rsidP="00AF2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36"/>
    <w:rsid w:val="000A0719"/>
    <w:rsid w:val="005E5E36"/>
    <w:rsid w:val="007A75DD"/>
    <w:rsid w:val="007C7B18"/>
    <w:rsid w:val="00AF279B"/>
    <w:rsid w:val="00C5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52906D"/>
  <w15:chartTrackingRefBased/>
  <w15:docId w15:val="{2A6B0E6C-B180-4250-BF8F-CB3873CE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AF27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AF2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AF279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F27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AF279B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AF27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周婷</dc:creator>
  <cp:keywords/>
  <dc:description/>
  <cp:lastModifiedBy>周婷</cp:lastModifiedBy>
  <cp:revision>3</cp:revision>
  <dcterms:created xsi:type="dcterms:W3CDTF">2022-06-06T09:00:00Z</dcterms:created>
  <dcterms:modified xsi:type="dcterms:W3CDTF">2022-06-06T09:02:00Z</dcterms:modified>
</cp:coreProperties>
</file>